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F2D87" w:rsidRDefault="004D2F60" w:rsidP="00CF2D87">
            <w:pPr>
              <w:rPr>
                <w:rFonts w:ascii="Gill Sans MT" w:hAnsi="Gill Sans MT"/>
              </w:rPr>
            </w:pPr>
            <w:r w:rsidRPr="004D2F60">
              <w:rPr>
                <w:rFonts w:ascii="Gill Sans MT" w:hAnsi="Gill Sans MT"/>
              </w:rPr>
              <w:t>Priest in Charge of Allendale with Whitfield, Area Dean of Hexham and Deanery Lay Ministry Enabler</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83"/>
        <w:gridCol w:w="537"/>
        <w:gridCol w:w="220"/>
        <w:gridCol w:w="1296"/>
        <w:gridCol w:w="1024"/>
        <w:gridCol w:w="1818"/>
        <w:gridCol w:w="977"/>
        <w:gridCol w:w="177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CF2D87" w:rsidP="008851BB">
            <w:pPr>
              <w:rPr>
                <w:rFonts w:asciiTheme="majorHAnsi" w:hAnsiTheme="majorHAnsi" w:cstheme="majorHAnsi"/>
                <w:sz w:val="22"/>
              </w:rPr>
            </w:pPr>
            <w:r>
              <w:rPr>
                <w:rFonts w:asciiTheme="majorHAnsi" w:hAnsiTheme="majorHAnsi" w:cstheme="majorHAnsi"/>
                <w:sz w:val="22"/>
              </w:rPr>
              <w:t xml:space="preserve">9.00am on </w:t>
            </w:r>
            <w:r w:rsidR="00B14436">
              <w:rPr>
                <w:rFonts w:asciiTheme="majorHAnsi" w:hAnsiTheme="majorHAnsi" w:cstheme="majorHAnsi"/>
                <w:sz w:val="22"/>
              </w:rPr>
              <w:t>Saturday 4th</w:t>
            </w:r>
            <w:bookmarkStart w:id="0" w:name="_GoBack"/>
            <w:bookmarkEnd w:id="0"/>
            <w:r w:rsidR="00B14436">
              <w:rPr>
                <w:rFonts w:asciiTheme="majorHAnsi" w:hAnsiTheme="majorHAnsi" w:cstheme="majorHAnsi"/>
                <w:sz w:val="22"/>
              </w:rPr>
              <w:t xml:space="preserve"> September</w:t>
            </w:r>
            <w:r>
              <w:rPr>
                <w:rFonts w:asciiTheme="majorHAnsi" w:hAnsiTheme="majorHAnsi" w:cstheme="majorHAnsi"/>
                <w:sz w:val="22"/>
              </w:rPr>
              <w:t xml:space="preserve"> 2021</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4D2F60" w:rsidRDefault="004D2F60" w:rsidP="00C97885">
            <w:pPr>
              <w:rPr>
                <w:rFonts w:asciiTheme="majorHAnsi" w:hAnsiTheme="majorHAnsi" w:cstheme="majorHAnsi"/>
                <w:i/>
                <w:sz w:val="22"/>
              </w:rPr>
            </w:pPr>
            <w:r>
              <w:rPr>
                <w:rFonts w:asciiTheme="majorHAnsi" w:hAnsiTheme="majorHAnsi" w:cstheme="majorHAnsi"/>
                <w:i/>
                <w:sz w:val="22"/>
              </w:rPr>
              <w:t>The PA to the Bishop of Berwick</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4D2F60" w:rsidRPr="00AE54B6">
                <w:rPr>
                  <w:rStyle w:val="Hyperlink"/>
                  <w:rFonts w:cstheme="minorBidi"/>
                </w:rPr>
                <w:t>pa.bishopofberwick@newcastle.anglican.org</w:t>
              </w:r>
            </w:hyperlink>
            <w:r w:rsidR="004D2F60">
              <w:t xml:space="preserve"> </w:t>
            </w:r>
            <w:r w:rsidR="000C62F7">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4D2F60" w:rsidP="004427C0">
            <w:pPr>
              <w:rPr>
                <w:rFonts w:asciiTheme="majorHAnsi" w:hAnsiTheme="majorHAnsi" w:cstheme="majorHAnsi"/>
              </w:rPr>
            </w:pPr>
            <w:r w:rsidRPr="004D2F60">
              <w:rPr>
                <w:rFonts w:asciiTheme="majorHAnsi" w:hAnsiTheme="majorHAnsi" w:cstheme="majorHAnsi"/>
                <w:sz w:val="22"/>
              </w:rPr>
              <w:t>Thursday 30</w:t>
            </w:r>
            <w:r w:rsidRPr="004D2F60">
              <w:rPr>
                <w:rFonts w:asciiTheme="majorHAnsi" w:hAnsiTheme="majorHAnsi" w:cstheme="majorHAnsi"/>
                <w:sz w:val="22"/>
                <w:vertAlign w:val="superscript"/>
              </w:rPr>
              <w:t>th</w:t>
            </w:r>
            <w:r>
              <w:rPr>
                <w:rFonts w:asciiTheme="majorHAnsi" w:hAnsiTheme="majorHAnsi" w:cstheme="majorHAnsi"/>
              </w:rPr>
              <w:t xml:space="preserve"> </w:t>
            </w:r>
            <w:r w:rsidRPr="004D2F60">
              <w:rPr>
                <w:rFonts w:asciiTheme="majorHAnsi" w:hAnsiTheme="majorHAnsi" w:cstheme="majorHAnsi"/>
                <w:sz w:val="22"/>
              </w:rPr>
              <w:t>September 2021</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B14436">
                  <w:pPr>
                    <w:framePr w:hSpace="180" w:wrap="around" w:vAnchor="text" w:hAnchor="text" w:y="1"/>
                    <w:ind w:left="-250"/>
                    <w:suppressOverlap/>
                  </w:pPr>
                </w:p>
                <w:p w:rsidR="009211AF" w:rsidRDefault="009211AF" w:rsidP="00B14436">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lastRenderedPageBreak/>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in their roles </w:t>
      </w:r>
      <w:r w:rsidRPr="00F370C0">
        <w:rPr>
          <w:rFonts w:ascii="Arial" w:eastAsia="Times New Roman" w:hAnsi="Arial" w:cs="Arial"/>
          <w:i/>
          <w:lang w:eastAsia="en-GB"/>
        </w:rPr>
        <w:lastRenderedPageBreak/>
        <w:t>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lastRenderedPageBreak/>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w:t>
      </w:r>
      <w:r>
        <w:rPr>
          <w:rFonts w:ascii="Arial" w:hAnsi="Arial" w:cs="Arial"/>
          <w:sz w:val="22"/>
          <w:szCs w:val="22"/>
        </w:rPr>
        <w:lastRenderedPageBreak/>
        <w:t xml:space="preserve">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B74898"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98" w:rsidRDefault="00B74898" w:rsidP="009B7117">
      <w:pPr>
        <w:spacing w:after="0" w:line="240" w:lineRule="auto"/>
      </w:pPr>
      <w:r>
        <w:separator/>
      </w:r>
    </w:p>
  </w:endnote>
  <w:endnote w:type="continuationSeparator" w:id="0">
    <w:p w:rsidR="00B74898" w:rsidRDefault="00B74898"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gerian">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98" w:rsidRDefault="00B74898" w:rsidP="009B7117">
      <w:pPr>
        <w:spacing w:after="0" w:line="240" w:lineRule="auto"/>
      </w:pPr>
      <w:r>
        <w:separator/>
      </w:r>
    </w:p>
  </w:footnote>
  <w:footnote w:type="continuationSeparator" w:id="0">
    <w:p w:rsidR="00B74898" w:rsidRDefault="00B74898"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431E7"/>
    <w:rsid w:val="000A3CCB"/>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2F60"/>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14436"/>
    <w:rsid w:val="00B263BD"/>
    <w:rsid w:val="00B70278"/>
    <w:rsid w:val="00B7464A"/>
    <w:rsid w:val="00B74898"/>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CF2D87"/>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86D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customStyle="1" w:styleId="UnresolvedMention2">
    <w:name w:val="Unresolved Mention2"/>
    <w:basedOn w:val="DefaultParagraphFont"/>
    <w:uiPriority w:val="99"/>
    <w:semiHidden/>
    <w:unhideWhenUsed/>
    <w:rsid w:val="004D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0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ishopofberwick@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3D7D45-A476-594B-AF1B-8708C730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Microsoft Office User</cp:lastModifiedBy>
  <cp:revision>2</cp:revision>
  <cp:lastPrinted>2015-05-06T14:24:00Z</cp:lastPrinted>
  <dcterms:created xsi:type="dcterms:W3CDTF">2021-07-29T09:29:00Z</dcterms:created>
  <dcterms:modified xsi:type="dcterms:W3CDTF">2021-07-29T09:29:00Z</dcterms:modified>
</cp:coreProperties>
</file>