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6D788" w14:textId="77777777" w:rsidR="00327207" w:rsidRPr="006B3686" w:rsidRDefault="00327207" w:rsidP="00327207">
      <w:pPr>
        <w:pStyle w:val="Heading1"/>
      </w:pPr>
      <w:bookmarkStart w:id="0" w:name="_Toc159019780"/>
      <w:bookmarkStart w:id="1" w:name="_GoBack"/>
      <w:bookmarkEnd w:id="1"/>
      <w:r w:rsidRPr="006B3686">
        <w:t>Whistle-blowing Policy</w:t>
      </w:r>
      <w:bookmarkEnd w:id="0"/>
    </w:p>
    <w:p w14:paraId="39675F3D" w14:textId="76905A02" w:rsidR="00327207" w:rsidRPr="00484890" w:rsidRDefault="00327207" w:rsidP="00327207">
      <w:pPr>
        <w:pStyle w:val="BodyText"/>
        <w:spacing w:before="240"/>
        <w:ind w:right="112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 xml:space="preserve">The </w:t>
      </w:r>
      <w:r>
        <w:rPr>
          <w:rFonts w:ascii="Gill Sans MT" w:hAnsi="Gill Sans MT"/>
        </w:rPr>
        <w:t>Parochial Church Council</w:t>
      </w:r>
      <w:r w:rsidRPr="0048489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</w:t>
      </w:r>
      <w:r w:rsidRPr="00484890">
        <w:rPr>
          <w:rFonts w:asciiTheme="minorHAnsi" w:hAnsiTheme="minorHAnsi" w:cstheme="minorHAnsi"/>
          <w:szCs w:val="22"/>
        </w:rPr>
        <w:t>PCC</w:t>
      </w:r>
      <w:r>
        <w:rPr>
          <w:rFonts w:asciiTheme="minorHAnsi" w:hAnsiTheme="minorHAnsi" w:cstheme="minorHAnsi"/>
          <w:szCs w:val="22"/>
        </w:rPr>
        <w:t xml:space="preserve">) </w:t>
      </w:r>
      <w:r w:rsidRPr="00484890">
        <w:rPr>
          <w:rFonts w:asciiTheme="minorHAnsi" w:hAnsiTheme="minorHAnsi" w:cstheme="minorHAnsi"/>
          <w:szCs w:val="22"/>
        </w:rPr>
        <w:t xml:space="preserve">of </w:t>
      </w:r>
      <w:r>
        <w:rPr>
          <w:rFonts w:asciiTheme="minorHAnsi" w:hAnsiTheme="minorHAnsi" w:cstheme="minorHAnsi"/>
          <w:szCs w:val="22"/>
        </w:rPr>
        <w:t>XXXXX</w:t>
      </w:r>
      <w:r w:rsidRPr="00484890">
        <w:rPr>
          <w:rFonts w:asciiTheme="minorHAnsi" w:hAnsiTheme="minorHAnsi" w:cstheme="minorHAnsi"/>
          <w:szCs w:val="22"/>
        </w:rPr>
        <w:t xml:space="preserve"> seeks to act with probity in its behaviour</w:t>
      </w:r>
      <w:r w:rsidRPr="00484890">
        <w:rPr>
          <w:rFonts w:asciiTheme="minorHAnsi" w:hAnsiTheme="minorHAnsi" w:cstheme="minorHAnsi"/>
          <w:spacing w:val="-1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and</w:t>
      </w:r>
      <w:r w:rsidRPr="00484890">
        <w:rPr>
          <w:rFonts w:asciiTheme="minorHAnsi" w:hAnsiTheme="minorHAnsi" w:cstheme="minorHAnsi"/>
          <w:spacing w:val="-1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aims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1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help</w:t>
      </w:r>
      <w:r w:rsidRPr="00484890">
        <w:rPr>
          <w:rFonts w:asciiTheme="minorHAnsi" w:hAnsiTheme="minorHAnsi" w:cstheme="minorHAnsi"/>
          <w:spacing w:val="-1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office</w:t>
      </w:r>
      <w:r w:rsidRPr="00484890">
        <w:rPr>
          <w:rFonts w:asciiTheme="minorHAnsi" w:hAnsiTheme="minorHAnsi" w:cstheme="minorHAnsi"/>
          <w:spacing w:val="-1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holders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and</w:t>
      </w:r>
      <w:r w:rsidRPr="00484890">
        <w:rPr>
          <w:rFonts w:asciiTheme="minorHAnsi" w:hAnsiTheme="minorHAnsi" w:cstheme="minorHAnsi"/>
          <w:spacing w:val="-1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volunteers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1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follow,</w:t>
      </w:r>
      <w:r w:rsidRPr="00484890">
        <w:rPr>
          <w:rFonts w:asciiTheme="minorHAnsi" w:hAnsiTheme="minorHAnsi" w:cstheme="minorHAnsi"/>
          <w:spacing w:val="-1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and</w:t>
      </w:r>
      <w:r w:rsidRPr="00484890">
        <w:rPr>
          <w:rFonts w:asciiTheme="minorHAnsi" w:hAnsiTheme="minorHAnsi" w:cstheme="minorHAnsi"/>
          <w:spacing w:val="-1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be</w:t>
      </w:r>
      <w:r w:rsidRPr="00484890">
        <w:rPr>
          <w:rFonts w:asciiTheme="minorHAnsi" w:hAnsiTheme="minorHAnsi" w:cstheme="minorHAnsi"/>
          <w:spacing w:val="-1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seen</w:t>
      </w:r>
      <w:r w:rsidRPr="00484890">
        <w:rPr>
          <w:rFonts w:asciiTheme="minorHAnsi" w:hAnsiTheme="minorHAnsi" w:cstheme="minorHAnsi"/>
          <w:spacing w:val="-1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1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 xml:space="preserve">follow, the highest ethical and moral standards. Should there be a failure in this, the policy seeks to enable the </w:t>
      </w:r>
      <w:r>
        <w:rPr>
          <w:rFonts w:asciiTheme="minorHAnsi" w:hAnsiTheme="minorHAnsi" w:cstheme="minorHAnsi"/>
          <w:szCs w:val="22"/>
        </w:rPr>
        <w:t>PCC</w:t>
      </w:r>
      <w:r w:rsidRPr="00484890">
        <w:rPr>
          <w:rFonts w:asciiTheme="minorHAnsi" w:hAnsiTheme="minorHAnsi" w:cstheme="minorHAnsi"/>
          <w:szCs w:val="22"/>
        </w:rPr>
        <w:t xml:space="preserve"> to be alerted to any potential problem or wrongdoing reasonably believed to exist, without fear or negative reprisal in response to the revelation.</w:t>
      </w:r>
    </w:p>
    <w:p w14:paraId="4DBD710A" w14:textId="77777777" w:rsidR="00327207" w:rsidRPr="00484890" w:rsidRDefault="00327207" w:rsidP="00327207">
      <w:pPr>
        <w:pStyle w:val="BodyText"/>
        <w:spacing w:before="7"/>
        <w:jc w:val="left"/>
        <w:rPr>
          <w:rFonts w:asciiTheme="minorHAnsi" w:hAnsiTheme="minorHAnsi" w:cstheme="minorHAnsi"/>
          <w:szCs w:val="22"/>
        </w:rPr>
      </w:pPr>
    </w:p>
    <w:p w14:paraId="77A66A37" w14:textId="77777777" w:rsidR="00327207" w:rsidRPr="00484890" w:rsidRDefault="00327207" w:rsidP="00327207">
      <w:pPr>
        <w:pStyle w:val="BodyText"/>
        <w:ind w:right="115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fulfil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their</w:t>
      </w:r>
      <w:r w:rsidRPr="00484890">
        <w:rPr>
          <w:rFonts w:asciiTheme="minorHAnsi" w:hAnsiTheme="minorHAnsi" w:cstheme="minorHAnsi"/>
          <w:spacing w:val="-5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commitment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safeguard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and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promote</w:t>
      </w:r>
      <w:r w:rsidRPr="00484890">
        <w:rPr>
          <w:rFonts w:asciiTheme="minorHAnsi" w:hAnsiTheme="minorHAnsi" w:cstheme="minorHAnsi"/>
          <w:spacing w:val="-5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the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welfare</w:t>
      </w:r>
      <w:r w:rsidRPr="00484890">
        <w:rPr>
          <w:rFonts w:asciiTheme="minorHAnsi" w:hAnsiTheme="minorHAnsi" w:cstheme="minorHAnsi"/>
          <w:spacing w:val="-5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of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children,</w:t>
      </w:r>
      <w:r w:rsidRPr="00484890">
        <w:rPr>
          <w:rFonts w:asciiTheme="minorHAnsi" w:hAnsiTheme="minorHAnsi" w:cstheme="minorHAnsi"/>
          <w:spacing w:val="-5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all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organisations that provide services for, or work with, children or are required to have appropriate whistle- blowing procedures, and a culture that enables issues about safeguarding and promoting the welfare of children to be addressed.</w:t>
      </w:r>
    </w:p>
    <w:p w14:paraId="4645BB2A" w14:textId="77777777" w:rsidR="00327207" w:rsidRPr="00484890" w:rsidRDefault="00327207" w:rsidP="00327207">
      <w:pPr>
        <w:pStyle w:val="BodyText"/>
        <w:spacing w:before="123"/>
        <w:ind w:right="117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>Whistle-blowing may also apply to situations of unacceptable practice, performance or behaviour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in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situations</w:t>
      </w:r>
      <w:r w:rsidRPr="00484890">
        <w:rPr>
          <w:rFonts w:asciiTheme="minorHAnsi" w:hAnsiTheme="minorHAnsi" w:cstheme="minorHAnsi"/>
          <w:spacing w:val="-9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unrelated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children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or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adults</w:t>
      </w:r>
      <w:r w:rsidRPr="00484890">
        <w:rPr>
          <w:rFonts w:asciiTheme="minorHAnsi" w:hAnsiTheme="minorHAnsi" w:cstheme="minorHAnsi"/>
          <w:spacing w:val="-9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who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may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be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vulnerable,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and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these</w:t>
      </w:r>
      <w:r w:rsidRPr="00484890">
        <w:rPr>
          <w:rFonts w:asciiTheme="minorHAnsi" w:hAnsiTheme="minorHAnsi" w:cstheme="minorHAnsi"/>
          <w:spacing w:val="-1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same principles can be applied.</w:t>
      </w:r>
    </w:p>
    <w:p w14:paraId="7C2A0568" w14:textId="77777777" w:rsidR="00327207" w:rsidRPr="00484890" w:rsidRDefault="00327207" w:rsidP="00327207">
      <w:pPr>
        <w:pStyle w:val="BodyText"/>
        <w:spacing w:before="119"/>
        <w:ind w:right="114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>The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Public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Interest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Disclosure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Act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1998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gives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workers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legal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protection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against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being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dismissed or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penalised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as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result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of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publicly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disclosing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certain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serious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concerns.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Whilst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the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Act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does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not provide the same protection for volunteers, th</w:t>
      </w:r>
      <w:r>
        <w:rPr>
          <w:rFonts w:asciiTheme="minorHAnsi" w:hAnsiTheme="minorHAnsi" w:cstheme="minorHAnsi"/>
          <w:szCs w:val="22"/>
        </w:rPr>
        <w:t>is</w:t>
      </w:r>
      <w:r w:rsidRPr="00484890">
        <w:rPr>
          <w:rFonts w:asciiTheme="minorHAnsi" w:hAnsiTheme="minorHAnsi" w:cstheme="minorHAnsi"/>
          <w:szCs w:val="22"/>
        </w:rPr>
        <w:t xml:space="preserve"> PCC adopts the same approach in their </w:t>
      </w:r>
      <w:r w:rsidRPr="00484890">
        <w:rPr>
          <w:rFonts w:asciiTheme="minorHAnsi" w:hAnsiTheme="minorHAnsi" w:cstheme="minorHAnsi"/>
          <w:spacing w:val="-2"/>
          <w:szCs w:val="22"/>
        </w:rPr>
        <w:t>protection.</w:t>
      </w:r>
    </w:p>
    <w:p w14:paraId="731E6E19" w14:textId="77777777" w:rsidR="00327207" w:rsidRPr="00484890" w:rsidRDefault="00327207" w:rsidP="00327207">
      <w:pPr>
        <w:pStyle w:val="BodyText"/>
        <w:spacing w:before="119"/>
        <w:ind w:right="114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 xml:space="preserve">The policy of </w:t>
      </w:r>
      <w:r>
        <w:rPr>
          <w:rFonts w:asciiTheme="minorHAnsi" w:hAnsiTheme="minorHAnsi" w:cstheme="minorHAnsi"/>
          <w:szCs w:val="22"/>
        </w:rPr>
        <w:t>this PCC</w:t>
      </w:r>
      <w:r w:rsidRPr="00484890">
        <w:rPr>
          <w:rFonts w:asciiTheme="minorHAnsi" w:hAnsiTheme="minorHAnsi" w:cstheme="minorHAnsi"/>
          <w:szCs w:val="22"/>
        </w:rPr>
        <w:t xml:space="preserve"> is to safeguard the interests of any of its office holders or volunteers when they act as </w:t>
      </w:r>
      <w:proofErr w:type="spellStart"/>
      <w:r w:rsidRPr="00484890">
        <w:rPr>
          <w:rFonts w:asciiTheme="minorHAnsi" w:hAnsiTheme="minorHAnsi" w:cstheme="minorHAnsi"/>
          <w:szCs w:val="22"/>
        </w:rPr>
        <w:t>alerters</w:t>
      </w:r>
      <w:proofErr w:type="spellEnd"/>
      <w:r w:rsidRPr="00484890">
        <w:rPr>
          <w:rFonts w:asciiTheme="minorHAnsi" w:hAnsiTheme="minorHAnsi" w:cstheme="minorHAnsi"/>
          <w:szCs w:val="22"/>
        </w:rPr>
        <w:t xml:space="preserve"> regarding any neglect or abuse, mental, physical, emotional,</w:t>
      </w:r>
      <w:r w:rsidRPr="00484890">
        <w:rPr>
          <w:rFonts w:asciiTheme="minorHAnsi" w:hAnsiTheme="minorHAnsi" w:cstheme="minorHAnsi"/>
          <w:spacing w:val="-10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sexual,</w:t>
      </w:r>
      <w:r w:rsidRPr="00484890">
        <w:rPr>
          <w:rFonts w:asciiTheme="minorHAnsi" w:hAnsiTheme="minorHAnsi" w:cstheme="minorHAnsi"/>
          <w:spacing w:val="-7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racial/ethnic</w:t>
      </w:r>
      <w:r w:rsidRPr="00484890">
        <w:rPr>
          <w:rFonts w:asciiTheme="minorHAnsi" w:hAnsiTheme="minorHAnsi" w:cstheme="minorHAnsi"/>
          <w:spacing w:val="-5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or</w:t>
      </w:r>
      <w:r w:rsidRPr="00484890">
        <w:rPr>
          <w:rFonts w:asciiTheme="minorHAnsi" w:hAnsiTheme="minorHAnsi" w:cstheme="minorHAnsi"/>
          <w:spacing w:val="-7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financial,</w:t>
      </w:r>
      <w:r w:rsidRPr="00484890">
        <w:rPr>
          <w:rFonts w:asciiTheme="minorHAnsi" w:hAnsiTheme="minorHAnsi" w:cstheme="minorHAnsi"/>
          <w:spacing w:val="-7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of</w:t>
      </w:r>
      <w:r w:rsidRPr="00484890">
        <w:rPr>
          <w:rFonts w:asciiTheme="minorHAnsi" w:hAnsiTheme="minorHAnsi" w:cstheme="minorHAnsi"/>
          <w:spacing w:val="-8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service</w:t>
      </w:r>
      <w:r w:rsidRPr="00484890">
        <w:rPr>
          <w:rFonts w:asciiTheme="minorHAnsi" w:hAnsiTheme="minorHAnsi" w:cstheme="minorHAnsi"/>
          <w:spacing w:val="-7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users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or</w:t>
      </w:r>
      <w:r w:rsidRPr="00484890">
        <w:rPr>
          <w:rFonts w:asciiTheme="minorHAnsi" w:hAnsiTheme="minorHAnsi" w:cstheme="minorHAnsi"/>
          <w:spacing w:val="-8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any</w:t>
      </w:r>
      <w:r w:rsidRPr="00484890">
        <w:rPr>
          <w:rFonts w:asciiTheme="minorHAnsi" w:hAnsiTheme="minorHAnsi" w:cstheme="minorHAnsi"/>
          <w:spacing w:val="-8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similar</w:t>
      </w:r>
      <w:r w:rsidRPr="00484890">
        <w:rPr>
          <w:rFonts w:asciiTheme="minorHAnsi" w:hAnsiTheme="minorHAnsi" w:cstheme="minorHAnsi"/>
          <w:spacing w:val="-8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abuse</w:t>
      </w:r>
      <w:r w:rsidRPr="00484890">
        <w:rPr>
          <w:rFonts w:asciiTheme="minorHAnsi" w:hAnsiTheme="minorHAnsi" w:cstheme="minorHAnsi"/>
          <w:spacing w:val="-6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of</w:t>
      </w:r>
      <w:r w:rsidRPr="00484890">
        <w:rPr>
          <w:rFonts w:asciiTheme="minorHAnsi" w:hAnsiTheme="minorHAnsi" w:cstheme="minorHAnsi"/>
          <w:spacing w:val="-8"/>
          <w:szCs w:val="22"/>
        </w:rPr>
        <w:t xml:space="preserve"> </w:t>
      </w:r>
      <w:r w:rsidRPr="00484890">
        <w:rPr>
          <w:rFonts w:asciiTheme="minorHAnsi" w:hAnsiTheme="minorHAnsi" w:cstheme="minorHAnsi"/>
          <w:spacing w:val="-2"/>
          <w:szCs w:val="22"/>
        </w:rPr>
        <w:t>colleagues.</w:t>
      </w:r>
    </w:p>
    <w:p w14:paraId="7172B714" w14:textId="77777777" w:rsidR="00327207" w:rsidRPr="00484890" w:rsidRDefault="00327207" w:rsidP="00327207">
      <w:pPr>
        <w:pStyle w:val="BodyText"/>
        <w:spacing w:before="120"/>
        <w:ind w:right="114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>The PCC accepts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that it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is bound by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legislation in</w:t>
      </w:r>
      <w:r w:rsidRPr="00484890">
        <w:rPr>
          <w:rFonts w:asciiTheme="minorHAnsi" w:hAnsiTheme="minorHAnsi" w:cstheme="minorHAnsi"/>
          <w:spacing w:val="-2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the Public Interest Disclosure Act 1998 and guarantees that procedures will be invoked in ways which do not prejudice the whistle- blower’s own position and prospects. The PCC will protect the office holder or volunteer against victimisation and provide support throughout the investigation process.</w:t>
      </w:r>
    </w:p>
    <w:p w14:paraId="58E68029" w14:textId="77777777" w:rsidR="00327207" w:rsidRPr="00484890" w:rsidRDefault="00327207" w:rsidP="00327207">
      <w:pPr>
        <w:pStyle w:val="BodyText"/>
        <w:spacing w:before="122"/>
        <w:jc w:val="left"/>
        <w:rPr>
          <w:rFonts w:asciiTheme="minorHAnsi" w:hAnsiTheme="minorHAnsi" w:cstheme="minorHAnsi"/>
          <w:szCs w:val="22"/>
        </w:rPr>
      </w:pPr>
      <w:r w:rsidRPr="00484890">
        <w:rPr>
          <w:rFonts w:asciiTheme="minorHAnsi" w:hAnsiTheme="minorHAnsi" w:cstheme="minorHAnsi"/>
          <w:szCs w:val="22"/>
        </w:rPr>
        <w:t>The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PCC is</w:t>
      </w:r>
      <w:r w:rsidRPr="00484890">
        <w:rPr>
          <w:rFonts w:asciiTheme="minorHAnsi" w:hAnsiTheme="minorHAnsi" w:cstheme="minorHAnsi"/>
          <w:spacing w:val="-4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committed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to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ensuring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that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office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holders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and</w:t>
      </w:r>
      <w:r w:rsidRPr="00484890">
        <w:rPr>
          <w:rFonts w:asciiTheme="minorHAnsi" w:hAnsiTheme="minorHAnsi" w:cstheme="minorHAnsi"/>
          <w:spacing w:val="-3"/>
          <w:szCs w:val="22"/>
        </w:rPr>
        <w:t xml:space="preserve"> </w:t>
      </w:r>
      <w:r w:rsidRPr="00484890">
        <w:rPr>
          <w:rFonts w:asciiTheme="minorHAnsi" w:hAnsiTheme="minorHAnsi" w:cstheme="minorHAnsi"/>
          <w:szCs w:val="22"/>
        </w:rPr>
        <w:t>volunteers</w:t>
      </w:r>
      <w:r w:rsidRPr="00484890">
        <w:rPr>
          <w:rFonts w:asciiTheme="minorHAnsi" w:hAnsiTheme="minorHAnsi" w:cstheme="minorHAnsi"/>
          <w:spacing w:val="-1"/>
          <w:szCs w:val="22"/>
        </w:rPr>
        <w:t xml:space="preserve"> </w:t>
      </w:r>
      <w:r w:rsidRPr="00484890">
        <w:rPr>
          <w:rFonts w:asciiTheme="minorHAnsi" w:hAnsiTheme="minorHAnsi" w:cstheme="minorHAnsi"/>
          <w:spacing w:val="-2"/>
          <w:szCs w:val="22"/>
        </w:rPr>
        <w:t>have:</w:t>
      </w:r>
    </w:p>
    <w:p w14:paraId="1DCF9584" w14:textId="77777777" w:rsidR="00327207" w:rsidRPr="00484890" w:rsidRDefault="00327207" w:rsidP="00327207">
      <w:pPr>
        <w:pStyle w:val="ListParagraph"/>
        <w:widowControl w:val="0"/>
        <w:numPr>
          <w:ilvl w:val="0"/>
          <w:numId w:val="1"/>
        </w:numPr>
        <w:tabs>
          <w:tab w:val="left" w:pos="813"/>
          <w:tab w:val="left" w:pos="814"/>
        </w:tabs>
        <w:autoSpaceDE w:val="0"/>
        <w:autoSpaceDN w:val="0"/>
        <w:spacing w:before="81" w:after="0" w:line="240" w:lineRule="auto"/>
        <w:contextualSpacing w:val="0"/>
        <w:rPr>
          <w:rFonts w:cstheme="minorHAnsi"/>
        </w:rPr>
      </w:pPr>
      <w:r w:rsidRPr="00484890">
        <w:rPr>
          <w:rFonts w:cstheme="minorHAnsi"/>
        </w:rPr>
        <w:t>Knowledge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</w:rPr>
        <w:t>and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understanding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</w:rPr>
        <w:t>of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protection</w:t>
      </w:r>
      <w:r w:rsidRPr="00484890">
        <w:rPr>
          <w:rFonts w:cstheme="minorHAnsi"/>
          <w:spacing w:val="-2"/>
        </w:rPr>
        <w:t xml:space="preserve"> procedures</w:t>
      </w:r>
    </w:p>
    <w:p w14:paraId="3FA79CA7" w14:textId="77777777" w:rsidR="00327207" w:rsidRPr="00484890" w:rsidRDefault="00327207" w:rsidP="00327207">
      <w:pPr>
        <w:pStyle w:val="ListParagraph"/>
        <w:widowControl w:val="0"/>
        <w:numPr>
          <w:ilvl w:val="0"/>
          <w:numId w:val="1"/>
        </w:numPr>
        <w:tabs>
          <w:tab w:val="left" w:pos="813"/>
          <w:tab w:val="left" w:pos="814"/>
        </w:tabs>
        <w:autoSpaceDE w:val="0"/>
        <w:autoSpaceDN w:val="0"/>
        <w:spacing w:before="51" w:after="0" w:line="240" w:lineRule="auto"/>
        <w:contextualSpacing w:val="0"/>
        <w:rPr>
          <w:rFonts w:cstheme="minorHAnsi"/>
        </w:rPr>
      </w:pPr>
      <w:r w:rsidRPr="00484890">
        <w:rPr>
          <w:rFonts w:cstheme="minorHAnsi"/>
        </w:rPr>
        <w:t>Are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</w:rPr>
        <w:t>committed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to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emphasising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that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</w:rPr>
        <w:t>harassment is</w:t>
      </w:r>
      <w:r w:rsidRPr="00484890">
        <w:rPr>
          <w:rFonts w:cstheme="minorHAnsi"/>
          <w:spacing w:val="-2"/>
        </w:rPr>
        <w:t xml:space="preserve"> unacceptable</w:t>
      </w:r>
    </w:p>
    <w:p w14:paraId="1C31993F" w14:textId="77777777" w:rsidR="00327207" w:rsidRPr="00484890" w:rsidRDefault="00327207" w:rsidP="00327207">
      <w:pPr>
        <w:pStyle w:val="ListParagraph"/>
        <w:widowControl w:val="0"/>
        <w:numPr>
          <w:ilvl w:val="0"/>
          <w:numId w:val="1"/>
        </w:numPr>
        <w:tabs>
          <w:tab w:val="left" w:pos="813"/>
          <w:tab w:val="left" w:pos="814"/>
        </w:tabs>
        <w:autoSpaceDE w:val="0"/>
        <w:autoSpaceDN w:val="0"/>
        <w:spacing w:before="52" w:after="0" w:line="240" w:lineRule="auto"/>
        <w:contextualSpacing w:val="0"/>
        <w:rPr>
          <w:rFonts w:cstheme="minorHAnsi"/>
        </w:rPr>
      </w:pPr>
      <w:r w:rsidRPr="00484890">
        <w:rPr>
          <w:rFonts w:cstheme="minorHAnsi"/>
        </w:rPr>
        <w:t>Are</w:t>
      </w:r>
      <w:r w:rsidRPr="00484890">
        <w:rPr>
          <w:rFonts w:cstheme="minorHAnsi"/>
          <w:spacing w:val="-5"/>
        </w:rPr>
        <w:t xml:space="preserve"> </w:t>
      </w:r>
      <w:r w:rsidRPr="00484890">
        <w:rPr>
          <w:rFonts w:cstheme="minorHAnsi"/>
        </w:rPr>
        <w:t>enabled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to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identify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oppressive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abuse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when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it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  <w:spacing w:val="-2"/>
        </w:rPr>
        <w:t>occurs</w:t>
      </w:r>
    </w:p>
    <w:p w14:paraId="35D0D2EA" w14:textId="77777777" w:rsidR="00327207" w:rsidRPr="00484890" w:rsidRDefault="00327207" w:rsidP="00327207">
      <w:pPr>
        <w:pStyle w:val="ListParagraph"/>
        <w:widowControl w:val="0"/>
        <w:numPr>
          <w:ilvl w:val="0"/>
          <w:numId w:val="1"/>
        </w:numPr>
        <w:tabs>
          <w:tab w:val="left" w:pos="813"/>
          <w:tab w:val="left" w:pos="814"/>
        </w:tabs>
        <w:autoSpaceDE w:val="0"/>
        <w:autoSpaceDN w:val="0"/>
        <w:spacing w:before="52" w:after="0" w:line="240" w:lineRule="auto"/>
        <w:contextualSpacing w:val="0"/>
        <w:rPr>
          <w:rFonts w:cstheme="minorHAnsi"/>
        </w:rPr>
      </w:pPr>
      <w:r w:rsidRPr="00484890">
        <w:rPr>
          <w:rFonts w:cstheme="minorHAnsi"/>
        </w:rPr>
        <w:t>Are</w:t>
      </w:r>
      <w:r w:rsidRPr="00484890">
        <w:rPr>
          <w:rFonts w:cstheme="minorHAnsi"/>
          <w:spacing w:val="-5"/>
        </w:rPr>
        <w:t xml:space="preserve"> </w:t>
      </w:r>
      <w:r w:rsidRPr="00484890">
        <w:rPr>
          <w:rFonts w:cstheme="minorHAnsi"/>
        </w:rPr>
        <w:t>informed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regarding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their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individual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duty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to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</w:rPr>
        <w:t>act to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protect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service</w:t>
      </w:r>
      <w:r w:rsidRPr="00484890">
        <w:rPr>
          <w:rFonts w:cstheme="minorHAnsi"/>
          <w:spacing w:val="-2"/>
        </w:rPr>
        <w:t xml:space="preserve"> users</w:t>
      </w:r>
    </w:p>
    <w:p w14:paraId="27382A5C" w14:textId="77777777" w:rsidR="00327207" w:rsidRPr="00484890" w:rsidRDefault="00327207" w:rsidP="00327207">
      <w:pPr>
        <w:pStyle w:val="ListParagraph"/>
        <w:widowControl w:val="0"/>
        <w:numPr>
          <w:ilvl w:val="0"/>
          <w:numId w:val="1"/>
        </w:numPr>
        <w:tabs>
          <w:tab w:val="left" w:pos="813"/>
          <w:tab w:val="left" w:pos="814"/>
        </w:tabs>
        <w:autoSpaceDE w:val="0"/>
        <w:autoSpaceDN w:val="0"/>
        <w:spacing w:before="50" w:after="0" w:line="242" w:lineRule="auto"/>
        <w:ind w:right="683"/>
        <w:contextualSpacing w:val="0"/>
        <w:rPr>
          <w:rFonts w:cstheme="minorHAnsi"/>
        </w:rPr>
      </w:pPr>
      <w:r w:rsidRPr="00484890">
        <w:rPr>
          <w:rFonts w:cstheme="minorHAnsi"/>
        </w:rPr>
        <w:t xml:space="preserve">Are made aware of measures to safeguard their interests if they act as whistle- </w:t>
      </w:r>
      <w:r w:rsidRPr="00484890">
        <w:rPr>
          <w:rFonts w:cstheme="minorHAnsi"/>
          <w:spacing w:val="-2"/>
        </w:rPr>
        <w:t>blowers</w:t>
      </w:r>
    </w:p>
    <w:p w14:paraId="30BDCC9C" w14:textId="77777777" w:rsidR="00327207" w:rsidRPr="00484890" w:rsidRDefault="00327207" w:rsidP="00327207">
      <w:pPr>
        <w:pStyle w:val="ListParagraph"/>
        <w:widowControl w:val="0"/>
        <w:numPr>
          <w:ilvl w:val="0"/>
          <w:numId w:val="1"/>
        </w:numPr>
        <w:tabs>
          <w:tab w:val="left" w:pos="813"/>
          <w:tab w:val="left" w:pos="814"/>
        </w:tabs>
        <w:autoSpaceDE w:val="0"/>
        <w:autoSpaceDN w:val="0"/>
        <w:spacing w:before="51" w:after="0" w:line="240" w:lineRule="auto"/>
        <w:contextualSpacing w:val="0"/>
        <w:rPr>
          <w:rFonts w:cstheme="minorHAnsi"/>
        </w:rPr>
      </w:pPr>
      <w:r w:rsidRPr="00484890">
        <w:rPr>
          <w:rFonts w:cstheme="minorHAnsi"/>
        </w:rPr>
        <w:t>Are</w:t>
      </w:r>
      <w:r w:rsidRPr="00484890">
        <w:rPr>
          <w:rFonts w:cstheme="minorHAnsi"/>
          <w:spacing w:val="-5"/>
        </w:rPr>
        <w:t xml:space="preserve"> </w:t>
      </w:r>
      <w:r w:rsidRPr="00484890">
        <w:rPr>
          <w:rFonts w:cstheme="minorHAnsi"/>
        </w:rPr>
        <w:t>made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aware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of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>their rights under</w:t>
      </w:r>
      <w:r w:rsidRPr="00484890">
        <w:rPr>
          <w:rFonts w:cstheme="minorHAnsi"/>
          <w:spacing w:val="-3"/>
        </w:rPr>
        <w:t xml:space="preserve"> </w:t>
      </w:r>
      <w:r w:rsidRPr="00484890">
        <w:rPr>
          <w:rFonts w:cstheme="minorHAnsi"/>
        </w:rPr>
        <w:t>the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Public Interest</w:t>
      </w:r>
      <w:r w:rsidRPr="00484890">
        <w:rPr>
          <w:rFonts w:cstheme="minorHAnsi"/>
          <w:spacing w:val="-1"/>
        </w:rPr>
        <w:t xml:space="preserve"> </w:t>
      </w:r>
      <w:r w:rsidRPr="00484890">
        <w:rPr>
          <w:rFonts w:cstheme="minorHAnsi"/>
        </w:rPr>
        <w:t>Disclosure</w:t>
      </w:r>
      <w:r w:rsidRPr="00484890">
        <w:rPr>
          <w:rFonts w:cstheme="minorHAnsi"/>
          <w:spacing w:val="-2"/>
        </w:rPr>
        <w:t xml:space="preserve"> </w:t>
      </w:r>
      <w:r w:rsidRPr="00484890">
        <w:rPr>
          <w:rFonts w:cstheme="minorHAnsi"/>
        </w:rPr>
        <w:t xml:space="preserve">Act </w:t>
      </w:r>
      <w:r w:rsidRPr="00484890">
        <w:rPr>
          <w:rFonts w:cstheme="minorHAnsi"/>
          <w:spacing w:val="-2"/>
        </w:rPr>
        <w:t>1998.</w:t>
      </w:r>
    </w:p>
    <w:p w14:paraId="7C5F578E" w14:textId="77777777" w:rsidR="00327207" w:rsidRDefault="00327207" w:rsidP="00327207">
      <w:pPr>
        <w:pStyle w:val="Heading2"/>
      </w:pPr>
    </w:p>
    <w:p w14:paraId="70AEEF73" w14:textId="77777777" w:rsidR="00327207" w:rsidRPr="00484890" w:rsidRDefault="00327207" w:rsidP="00327207">
      <w:pPr>
        <w:pStyle w:val="Heading2"/>
      </w:pPr>
      <w:bookmarkStart w:id="2" w:name="_Toc159019781"/>
      <w:r w:rsidRPr="00484890">
        <w:t>Responsibility</w:t>
      </w:r>
      <w:bookmarkEnd w:id="2"/>
    </w:p>
    <w:p w14:paraId="0224FB34" w14:textId="77777777" w:rsidR="00327207" w:rsidRPr="00BE1519" w:rsidRDefault="00327207" w:rsidP="00327207">
      <w:pPr>
        <w:pStyle w:val="BodyText"/>
        <w:spacing w:before="121"/>
        <w:rPr>
          <w:rFonts w:ascii="Gill Sans MT" w:hAnsi="Gill Sans MT"/>
        </w:rPr>
      </w:pPr>
      <w:r w:rsidRPr="00BE1519">
        <w:rPr>
          <w:rFonts w:ascii="Gill Sans MT" w:hAnsi="Gill Sans MT"/>
        </w:rPr>
        <w:t>Overall</w:t>
      </w:r>
      <w:r w:rsidRPr="00BE1519">
        <w:rPr>
          <w:rFonts w:ascii="Gill Sans MT" w:hAnsi="Gill Sans MT"/>
          <w:spacing w:val="9"/>
        </w:rPr>
        <w:t xml:space="preserve"> </w:t>
      </w:r>
      <w:r w:rsidRPr="00BE1519">
        <w:rPr>
          <w:rFonts w:ascii="Gill Sans MT" w:hAnsi="Gill Sans MT"/>
        </w:rPr>
        <w:t>responsibility</w:t>
      </w:r>
      <w:r w:rsidRPr="00BE1519">
        <w:rPr>
          <w:rFonts w:ascii="Gill Sans MT" w:hAnsi="Gill Sans MT"/>
          <w:spacing w:val="8"/>
        </w:rPr>
        <w:t xml:space="preserve"> </w:t>
      </w:r>
      <w:r w:rsidRPr="00BE1519">
        <w:rPr>
          <w:rFonts w:ascii="Gill Sans MT" w:hAnsi="Gill Sans MT"/>
        </w:rPr>
        <w:t>for</w:t>
      </w:r>
      <w:r w:rsidRPr="00BE1519">
        <w:rPr>
          <w:rFonts w:ascii="Gill Sans MT" w:hAnsi="Gill Sans MT"/>
          <w:spacing w:val="8"/>
        </w:rPr>
        <w:t xml:space="preserve"> </w:t>
      </w:r>
      <w:r w:rsidRPr="00BE1519">
        <w:rPr>
          <w:rFonts w:ascii="Gill Sans MT" w:hAnsi="Gill Sans MT"/>
        </w:rPr>
        <w:t>this</w:t>
      </w:r>
      <w:r w:rsidRPr="00BE1519">
        <w:rPr>
          <w:rFonts w:ascii="Gill Sans MT" w:hAnsi="Gill Sans MT"/>
          <w:spacing w:val="10"/>
        </w:rPr>
        <w:t xml:space="preserve"> </w:t>
      </w:r>
      <w:r w:rsidRPr="00BE1519">
        <w:rPr>
          <w:rFonts w:ascii="Gill Sans MT" w:hAnsi="Gill Sans MT"/>
        </w:rPr>
        <w:t>policy</w:t>
      </w:r>
      <w:r w:rsidRPr="00BE1519">
        <w:rPr>
          <w:rFonts w:ascii="Gill Sans MT" w:hAnsi="Gill Sans MT"/>
          <w:spacing w:val="7"/>
        </w:rPr>
        <w:t xml:space="preserve"> </w:t>
      </w:r>
      <w:r w:rsidRPr="00BE1519">
        <w:rPr>
          <w:rFonts w:ascii="Gill Sans MT" w:hAnsi="Gill Sans MT"/>
        </w:rPr>
        <w:t>and</w:t>
      </w:r>
      <w:r w:rsidRPr="00BE1519">
        <w:rPr>
          <w:rFonts w:ascii="Gill Sans MT" w:hAnsi="Gill Sans MT"/>
          <w:spacing w:val="9"/>
        </w:rPr>
        <w:t xml:space="preserve"> </w:t>
      </w:r>
      <w:r w:rsidRPr="00BE1519">
        <w:rPr>
          <w:rFonts w:ascii="Gill Sans MT" w:hAnsi="Gill Sans MT"/>
        </w:rPr>
        <w:t>its</w:t>
      </w:r>
      <w:r w:rsidRPr="00BE1519">
        <w:rPr>
          <w:rFonts w:ascii="Gill Sans MT" w:hAnsi="Gill Sans MT"/>
          <w:spacing w:val="11"/>
        </w:rPr>
        <w:t xml:space="preserve"> </w:t>
      </w:r>
      <w:r w:rsidRPr="00BE1519">
        <w:rPr>
          <w:rFonts w:ascii="Gill Sans MT" w:hAnsi="Gill Sans MT"/>
        </w:rPr>
        <w:t>implementation</w:t>
      </w:r>
      <w:r w:rsidRPr="00BE1519">
        <w:rPr>
          <w:rFonts w:ascii="Gill Sans MT" w:hAnsi="Gill Sans MT"/>
          <w:spacing w:val="9"/>
        </w:rPr>
        <w:t xml:space="preserve"> </w:t>
      </w:r>
      <w:r w:rsidRPr="00BE1519">
        <w:rPr>
          <w:rFonts w:ascii="Gill Sans MT" w:hAnsi="Gill Sans MT"/>
        </w:rPr>
        <w:t>is</w:t>
      </w:r>
      <w:r w:rsidRPr="00BE1519">
        <w:rPr>
          <w:rFonts w:ascii="Gill Sans MT" w:hAnsi="Gill Sans MT"/>
          <w:spacing w:val="10"/>
        </w:rPr>
        <w:t xml:space="preserve"> </w:t>
      </w:r>
      <w:r w:rsidRPr="00BE1519">
        <w:rPr>
          <w:rFonts w:ascii="Gill Sans MT" w:hAnsi="Gill Sans MT"/>
        </w:rPr>
        <w:t>with</w:t>
      </w:r>
      <w:r w:rsidRPr="00BE1519">
        <w:rPr>
          <w:rFonts w:ascii="Gill Sans MT" w:hAnsi="Gill Sans MT"/>
          <w:spacing w:val="7"/>
        </w:rPr>
        <w:t xml:space="preserve"> </w:t>
      </w:r>
      <w:r>
        <w:rPr>
          <w:rFonts w:ascii="Gill Sans MT" w:hAnsi="Gill Sans MT"/>
        </w:rPr>
        <w:t>the Priest in Charge along with the members of the Parochial Church Council.</w:t>
      </w:r>
    </w:p>
    <w:p w14:paraId="5FC5A712" w14:textId="77777777" w:rsidR="00327207" w:rsidRPr="00484890" w:rsidRDefault="00327207" w:rsidP="00327207">
      <w:pPr>
        <w:pStyle w:val="Heading2"/>
      </w:pPr>
      <w:bookmarkStart w:id="3" w:name="_Toc159019782"/>
      <w:r w:rsidRPr="00484890">
        <w:t>Review</w:t>
      </w:r>
      <w:bookmarkEnd w:id="3"/>
    </w:p>
    <w:p w14:paraId="3CA74BB0" w14:textId="77777777" w:rsidR="00327207" w:rsidRDefault="00327207" w:rsidP="00327207">
      <w:pPr>
        <w:pStyle w:val="BodyText"/>
        <w:spacing w:before="121"/>
        <w:jc w:val="left"/>
        <w:rPr>
          <w:rFonts w:ascii="Gill Sans MT" w:hAnsi="Gill Sans MT"/>
          <w:spacing w:val="-2"/>
        </w:rPr>
      </w:pPr>
      <w:r w:rsidRPr="00BE1519">
        <w:rPr>
          <w:rFonts w:ascii="Gill Sans MT" w:hAnsi="Gill Sans MT"/>
        </w:rPr>
        <w:t>This</w:t>
      </w:r>
      <w:r w:rsidRPr="00BE1519">
        <w:rPr>
          <w:rFonts w:ascii="Gill Sans MT" w:hAnsi="Gill Sans MT"/>
          <w:spacing w:val="-1"/>
        </w:rPr>
        <w:t xml:space="preserve"> </w:t>
      </w:r>
      <w:r w:rsidRPr="00BE1519">
        <w:rPr>
          <w:rFonts w:ascii="Gill Sans MT" w:hAnsi="Gill Sans MT"/>
        </w:rPr>
        <w:t>policy is</w:t>
      </w:r>
      <w:r w:rsidRPr="00BE1519">
        <w:rPr>
          <w:rFonts w:ascii="Gill Sans MT" w:hAnsi="Gill Sans MT"/>
          <w:spacing w:val="-1"/>
        </w:rPr>
        <w:t xml:space="preserve"> </w:t>
      </w:r>
      <w:r w:rsidRPr="00BE1519">
        <w:rPr>
          <w:rFonts w:ascii="Gill Sans MT" w:hAnsi="Gill Sans MT"/>
        </w:rPr>
        <w:t>reviewed</w:t>
      </w:r>
      <w:r w:rsidRPr="00BE1519">
        <w:rPr>
          <w:rFonts w:ascii="Gill Sans MT" w:hAnsi="Gill Sans MT"/>
          <w:spacing w:val="-1"/>
        </w:rPr>
        <w:t xml:space="preserve"> </w:t>
      </w:r>
      <w:r>
        <w:rPr>
          <w:rFonts w:ascii="Gill Sans MT" w:hAnsi="Gill Sans MT"/>
        </w:rPr>
        <w:t xml:space="preserve">annually </w:t>
      </w:r>
      <w:r w:rsidRPr="00BE1519">
        <w:rPr>
          <w:rFonts w:ascii="Gill Sans MT" w:hAnsi="Gill Sans MT"/>
        </w:rPr>
        <w:t>and</w:t>
      </w:r>
      <w:r w:rsidRPr="00BE1519">
        <w:rPr>
          <w:rFonts w:ascii="Gill Sans MT" w:hAnsi="Gill Sans MT"/>
          <w:spacing w:val="-1"/>
        </w:rPr>
        <w:t xml:space="preserve"> </w:t>
      </w:r>
      <w:r w:rsidRPr="00BE1519">
        <w:rPr>
          <w:rFonts w:ascii="Gill Sans MT" w:hAnsi="Gill Sans MT"/>
        </w:rPr>
        <w:t>updated</w:t>
      </w:r>
      <w:r w:rsidRPr="00BE1519">
        <w:rPr>
          <w:rFonts w:ascii="Gill Sans MT" w:hAnsi="Gill Sans MT"/>
          <w:spacing w:val="-1"/>
        </w:rPr>
        <w:t xml:space="preserve"> </w:t>
      </w:r>
      <w:r w:rsidRPr="00BE1519">
        <w:rPr>
          <w:rFonts w:ascii="Gill Sans MT" w:hAnsi="Gill Sans MT"/>
        </w:rPr>
        <w:t xml:space="preserve">as </w:t>
      </w:r>
      <w:r w:rsidRPr="00BE1519">
        <w:rPr>
          <w:rFonts w:ascii="Gill Sans MT" w:hAnsi="Gill Sans MT"/>
          <w:spacing w:val="-2"/>
        </w:rPr>
        <w:t>required.</w:t>
      </w:r>
    </w:p>
    <w:p w14:paraId="5F5D35B3" w14:textId="77777777" w:rsidR="00327207" w:rsidRPr="001661FE" w:rsidRDefault="00327207" w:rsidP="00327207">
      <w:pPr>
        <w:pStyle w:val="Heading2"/>
      </w:pPr>
      <w:bookmarkStart w:id="4" w:name="_Toc159019783"/>
      <w:r w:rsidRPr="001661FE">
        <w:lastRenderedPageBreak/>
        <w:t>Procedure</w:t>
      </w:r>
      <w:bookmarkEnd w:id="4"/>
    </w:p>
    <w:p w14:paraId="15E1FBF5" w14:textId="77777777" w:rsidR="00327207" w:rsidRPr="001661FE" w:rsidRDefault="00327207" w:rsidP="00327207">
      <w:pPr>
        <w:pStyle w:val="BodyText"/>
        <w:spacing w:before="241"/>
        <w:ind w:right="114"/>
        <w:jc w:val="left"/>
        <w:rPr>
          <w:rFonts w:asciiTheme="minorHAnsi" w:hAnsiTheme="minorHAnsi" w:cstheme="minorHAnsi"/>
          <w:szCs w:val="22"/>
        </w:rPr>
      </w:pPr>
      <w:r w:rsidRPr="001661FE">
        <w:rPr>
          <w:rFonts w:asciiTheme="minorHAnsi" w:hAnsiTheme="minorHAnsi" w:cstheme="minorHAnsi"/>
          <w:szCs w:val="22"/>
        </w:rPr>
        <w:t xml:space="preserve">The PCC encourages office holders and volunteers to regard it as their duty </w:t>
      </w:r>
      <w:r>
        <w:rPr>
          <w:rFonts w:asciiTheme="minorHAnsi" w:hAnsiTheme="minorHAnsi" w:cstheme="minorHAnsi"/>
          <w:szCs w:val="22"/>
        </w:rPr>
        <w:t xml:space="preserve">and </w:t>
      </w:r>
      <w:r w:rsidRPr="001661FE">
        <w:rPr>
          <w:rFonts w:asciiTheme="minorHAnsi" w:hAnsiTheme="minorHAnsi" w:cstheme="minorHAnsi"/>
          <w:szCs w:val="22"/>
        </w:rPr>
        <w:t>obligation to raise legitimate concerns about suspected misconduct by colleagues</w:t>
      </w:r>
      <w:r>
        <w:rPr>
          <w:rFonts w:asciiTheme="minorHAnsi" w:hAnsiTheme="minorHAnsi" w:cstheme="minorHAnsi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 xml:space="preserve">or those with whom they </w:t>
      </w:r>
      <w:r>
        <w:rPr>
          <w:rFonts w:asciiTheme="minorHAnsi" w:hAnsiTheme="minorHAnsi" w:cstheme="minorHAnsi"/>
          <w:szCs w:val="22"/>
        </w:rPr>
        <w:t>serve</w:t>
      </w:r>
      <w:r w:rsidRPr="001661FE">
        <w:rPr>
          <w:rFonts w:asciiTheme="minorHAnsi" w:hAnsiTheme="minorHAnsi" w:cstheme="minorHAnsi"/>
          <w:szCs w:val="22"/>
        </w:rPr>
        <w:t>.</w:t>
      </w:r>
    </w:p>
    <w:p w14:paraId="198B9702" w14:textId="77777777" w:rsidR="00327207" w:rsidRPr="001661FE" w:rsidRDefault="00327207" w:rsidP="00327207">
      <w:pPr>
        <w:pStyle w:val="BodyText"/>
        <w:spacing w:before="198"/>
        <w:ind w:right="114"/>
        <w:jc w:val="left"/>
        <w:rPr>
          <w:rFonts w:asciiTheme="minorHAnsi" w:hAnsiTheme="minorHAnsi" w:cstheme="minorHAnsi"/>
          <w:szCs w:val="22"/>
        </w:rPr>
      </w:pPr>
      <w:r w:rsidRPr="001661FE">
        <w:rPr>
          <w:rFonts w:asciiTheme="minorHAnsi" w:hAnsiTheme="minorHAnsi" w:cstheme="minorHAnsi"/>
          <w:szCs w:val="22"/>
        </w:rPr>
        <w:t>The</w:t>
      </w:r>
      <w:r w:rsidRPr="001661FE">
        <w:rPr>
          <w:rFonts w:asciiTheme="minorHAnsi" w:hAnsiTheme="minorHAnsi" w:cstheme="minorHAnsi"/>
          <w:spacing w:val="-8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PCC sees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its</w:t>
      </w:r>
      <w:r w:rsidRPr="001661FE">
        <w:rPr>
          <w:rFonts w:asciiTheme="minorHAnsi" w:hAnsiTheme="minorHAnsi" w:cstheme="minorHAnsi"/>
          <w:spacing w:val="-7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office</w:t>
      </w:r>
      <w:r w:rsidRPr="001661FE">
        <w:rPr>
          <w:rFonts w:asciiTheme="minorHAnsi" w:hAnsiTheme="minorHAnsi" w:cstheme="minorHAnsi"/>
          <w:spacing w:val="-8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Holders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and</w:t>
      </w:r>
      <w:r w:rsidRPr="001661FE">
        <w:rPr>
          <w:rFonts w:asciiTheme="minorHAnsi" w:hAnsiTheme="minorHAnsi" w:cstheme="minorHAnsi"/>
          <w:spacing w:val="-7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volunteers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in</w:t>
      </w:r>
      <w:r w:rsidRPr="001661FE">
        <w:rPr>
          <w:rFonts w:asciiTheme="minorHAnsi" w:hAnsiTheme="minorHAnsi" w:cstheme="minorHAnsi"/>
          <w:spacing w:val="-7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the</w:t>
      </w:r>
      <w:r w:rsidRPr="001661FE">
        <w:rPr>
          <w:rFonts w:asciiTheme="minorHAnsi" w:hAnsiTheme="minorHAnsi" w:cstheme="minorHAnsi"/>
          <w:spacing w:val="-8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roles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of</w:t>
      </w:r>
      <w:r w:rsidRPr="001661FE">
        <w:rPr>
          <w:rFonts w:asciiTheme="minorHAnsi" w:hAnsiTheme="minorHAnsi" w:cstheme="minorHAnsi"/>
          <w:spacing w:val="-8"/>
          <w:szCs w:val="22"/>
        </w:rPr>
        <w:t xml:space="preserve"> </w:t>
      </w:r>
      <w:proofErr w:type="spellStart"/>
      <w:r w:rsidRPr="001661FE">
        <w:rPr>
          <w:rFonts w:asciiTheme="minorHAnsi" w:hAnsiTheme="minorHAnsi" w:cstheme="minorHAnsi"/>
          <w:szCs w:val="22"/>
        </w:rPr>
        <w:t>alerters</w:t>
      </w:r>
      <w:proofErr w:type="spellEnd"/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to</w:t>
      </w:r>
      <w:r w:rsidRPr="001661FE">
        <w:rPr>
          <w:rFonts w:asciiTheme="minorHAnsi" w:hAnsiTheme="minorHAnsi" w:cstheme="minorHAnsi"/>
          <w:spacing w:val="-7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promote the safeguarding of the rights of others, to log</w:t>
      </w:r>
      <w:r w:rsidRPr="001661FE">
        <w:rPr>
          <w:rFonts w:asciiTheme="minorHAnsi" w:hAnsiTheme="minorHAnsi" w:cstheme="minorHAnsi"/>
          <w:spacing w:val="-1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any concerns and</w:t>
      </w:r>
      <w:r w:rsidRPr="001661FE">
        <w:rPr>
          <w:rFonts w:asciiTheme="minorHAnsi" w:hAnsiTheme="minorHAnsi" w:cstheme="minorHAnsi"/>
          <w:spacing w:val="-1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report such concerns to one of the following:</w:t>
      </w:r>
    </w:p>
    <w:p w14:paraId="1B2CF9A0" w14:textId="77777777" w:rsidR="00327207" w:rsidRPr="001661FE" w:rsidRDefault="00327207" w:rsidP="00327207">
      <w:pPr>
        <w:pStyle w:val="ListParagraph"/>
        <w:widowControl w:val="0"/>
        <w:numPr>
          <w:ilvl w:val="1"/>
          <w:numId w:val="2"/>
        </w:numPr>
        <w:tabs>
          <w:tab w:val="left" w:pos="813"/>
          <w:tab w:val="left" w:pos="814"/>
        </w:tabs>
        <w:autoSpaceDE w:val="0"/>
        <w:autoSpaceDN w:val="0"/>
        <w:spacing w:before="2" w:after="0" w:line="305" w:lineRule="exact"/>
        <w:contextualSpacing w:val="0"/>
        <w:rPr>
          <w:rFonts w:cstheme="minorHAnsi"/>
        </w:rPr>
      </w:pPr>
      <w:r>
        <w:rPr>
          <w:rFonts w:cstheme="minorHAnsi"/>
        </w:rPr>
        <w:t>The Priest in Charge</w:t>
      </w:r>
    </w:p>
    <w:p w14:paraId="2771370F" w14:textId="77777777" w:rsidR="00327207" w:rsidRPr="001661FE" w:rsidRDefault="00327207" w:rsidP="00327207">
      <w:pPr>
        <w:pStyle w:val="ListParagraph"/>
        <w:widowControl w:val="0"/>
        <w:numPr>
          <w:ilvl w:val="1"/>
          <w:numId w:val="2"/>
        </w:numPr>
        <w:tabs>
          <w:tab w:val="left" w:pos="813"/>
          <w:tab w:val="left" w:pos="814"/>
        </w:tabs>
        <w:autoSpaceDE w:val="0"/>
        <w:autoSpaceDN w:val="0"/>
        <w:spacing w:after="0" w:line="305" w:lineRule="exact"/>
        <w:contextualSpacing w:val="0"/>
        <w:rPr>
          <w:rFonts w:cstheme="minorHAnsi"/>
        </w:rPr>
      </w:pPr>
      <w:r>
        <w:rPr>
          <w:rFonts w:cstheme="minorHAnsi"/>
        </w:rPr>
        <w:t>One of the Churchwardens</w:t>
      </w:r>
    </w:p>
    <w:p w14:paraId="3D59FC50" w14:textId="77777777" w:rsidR="00327207" w:rsidRPr="001661FE" w:rsidRDefault="00327207" w:rsidP="00327207">
      <w:pPr>
        <w:pStyle w:val="ListParagraph"/>
        <w:widowControl w:val="0"/>
        <w:numPr>
          <w:ilvl w:val="1"/>
          <w:numId w:val="2"/>
        </w:numPr>
        <w:tabs>
          <w:tab w:val="left" w:pos="820"/>
          <w:tab w:val="left" w:pos="821"/>
        </w:tabs>
        <w:autoSpaceDE w:val="0"/>
        <w:autoSpaceDN w:val="0"/>
        <w:spacing w:before="3" w:after="0" w:line="240" w:lineRule="auto"/>
        <w:ind w:left="820" w:hanging="361"/>
        <w:contextualSpacing w:val="0"/>
        <w:rPr>
          <w:rFonts w:cstheme="minorHAnsi"/>
        </w:rPr>
      </w:pPr>
      <w:r>
        <w:rPr>
          <w:rFonts w:cstheme="minorHAnsi"/>
        </w:rPr>
        <w:t>The Archdeacon of Lindisfarne</w:t>
      </w:r>
    </w:p>
    <w:p w14:paraId="403155F0" w14:textId="77777777" w:rsidR="00327207" w:rsidRPr="001661FE" w:rsidRDefault="00327207" w:rsidP="00327207">
      <w:pPr>
        <w:pStyle w:val="BodyText"/>
        <w:spacing w:before="198"/>
        <w:ind w:right="115"/>
        <w:jc w:val="left"/>
        <w:rPr>
          <w:rFonts w:asciiTheme="minorHAnsi" w:hAnsiTheme="minorHAnsi" w:cstheme="minorHAnsi"/>
          <w:szCs w:val="22"/>
        </w:rPr>
      </w:pPr>
      <w:proofErr w:type="spellStart"/>
      <w:r w:rsidRPr="001661FE">
        <w:rPr>
          <w:rFonts w:asciiTheme="minorHAnsi" w:hAnsiTheme="minorHAnsi" w:cstheme="minorHAnsi"/>
          <w:szCs w:val="22"/>
        </w:rPr>
        <w:t>Alerters</w:t>
      </w:r>
      <w:proofErr w:type="spellEnd"/>
      <w:r w:rsidRPr="001661FE">
        <w:rPr>
          <w:rFonts w:asciiTheme="minorHAnsi" w:hAnsiTheme="minorHAnsi" w:cstheme="minorHAnsi"/>
          <w:szCs w:val="22"/>
        </w:rPr>
        <w:t xml:space="preserve"> are not being asked to verify or prove that concerns are true. The PCC seeks to protect its office holders and volunteers from victimisation when they act as </w:t>
      </w:r>
      <w:proofErr w:type="spellStart"/>
      <w:r w:rsidRPr="001661FE">
        <w:rPr>
          <w:rFonts w:asciiTheme="minorHAnsi" w:hAnsiTheme="minorHAnsi" w:cstheme="minorHAnsi"/>
          <w:spacing w:val="-2"/>
          <w:szCs w:val="22"/>
        </w:rPr>
        <w:t>alerters</w:t>
      </w:r>
      <w:proofErr w:type="spellEnd"/>
      <w:r w:rsidRPr="001661FE">
        <w:rPr>
          <w:rFonts w:asciiTheme="minorHAnsi" w:hAnsiTheme="minorHAnsi" w:cstheme="minorHAnsi"/>
          <w:spacing w:val="-2"/>
          <w:szCs w:val="22"/>
        </w:rPr>
        <w:t>.</w:t>
      </w:r>
    </w:p>
    <w:p w14:paraId="3FBABFF7" w14:textId="77777777" w:rsidR="00327207" w:rsidRPr="001661FE" w:rsidRDefault="00327207" w:rsidP="00327207">
      <w:pPr>
        <w:pStyle w:val="BodyText"/>
        <w:spacing w:before="201"/>
        <w:ind w:right="114"/>
        <w:jc w:val="left"/>
        <w:rPr>
          <w:rFonts w:asciiTheme="minorHAnsi" w:hAnsiTheme="minorHAnsi" w:cstheme="minorHAnsi"/>
          <w:szCs w:val="22"/>
        </w:rPr>
      </w:pPr>
      <w:r w:rsidRPr="001661FE">
        <w:rPr>
          <w:rFonts w:asciiTheme="minorHAnsi" w:hAnsiTheme="minorHAnsi" w:cstheme="minorHAnsi"/>
          <w:szCs w:val="22"/>
        </w:rPr>
        <w:t>Anybody who is concerned about any malpractice but unsure whether to blow the whistle or to</w:t>
      </w:r>
      <w:r w:rsidRPr="001661FE">
        <w:rPr>
          <w:rFonts w:asciiTheme="minorHAnsi" w:hAnsiTheme="minorHAnsi" w:cstheme="minorHAnsi"/>
          <w:spacing w:val="-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stay</w:t>
      </w:r>
      <w:r w:rsidRPr="001661FE">
        <w:rPr>
          <w:rFonts w:asciiTheme="minorHAnsi" w:hAnsiTheme="minorHAnsi" w:cstheme="minorHAnsi"/>
          <w:spacing w:val="-7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silent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or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are</w:t>
      </w:r>
      <w:r w:rsidRPr="001661FE">
        <w:rPr>
          <w:rFonts w:asciiTheme="minorHAnsi" w:hAnsiTheme="minorHAnsi" w:cstheme="minorHAnsi"/>
          <w:spacing w:val="-5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unclear</w:t>
      </w:r>
      <w:r w:rsidRPr="001661FE">
        <w:rPr>
          <w:rFonts w:asciiTheme="minorHAnsi" w:hAnsiTheme="minorHAnsi" w:cstheme="minorHAnsi"/>
          <w:spacing w:val="-5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about</w:t>
      </w:r>
      <w:r w:rsidRPr="001661FE">
        <w:rPr>
          <w:rFonts w:asciiTheme="minorHAnsi" w:hAnsiTheme="minorHAnsi" w:cstheme="minorHAnsi"/>
          <w:spacing w:val="-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how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to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go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about</w:t>
      </w:r>
      <w:r w:rsidRPr="001661FE">
        <w:rPr>
          <w:rFonts w:asciiTheme="minorHAnsi" w:hAnsiTheme="minorHAnsi" w:cstheme="minorHAnsi"/>
          <w:spacing w:val="-7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blowing</w:t>
      </w:r>
      <w:r w:rsidRPr="001661FE">
        <w:rPr>
          <w:rFonts w:asciiTheme="minorHAnsi" w:hAnsiTheme="minorHAnsi" w:cstheme="minorHAnsi"/>
          <w:spacing w:val="-6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the</w:t>
      </w:r>
      <w:r w:rsidRPr="001661FE">
        <w:rPr>
          <w:rFonts w:asciiTheme="minorHAnsi" w:hAnsiTheme="minorHAnsi" w:cstheme="minorHAnsi"/>
          <w:spacing w:val="-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whistle</w:t>
      </w:r>
      <w:r w:rsidRPr="001661FE">
        <w:rPr>
          <w:rFonts w:asciiTheme="minorHAnsi" w:hAnsiTheme="minorHAnsi" w:cstheme="minorHAnsi"/>
          <w:spacing w:val="-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may</w:t>
      </w:r>
      <w:r w:rsidRPr="001661FE">
        <w:rPr>
          <w:rFonts w:asciiTheme="minorHAnsi" w:hAnsiTheme="minorHAnsi" w:cstheme="minorHAnsi"/>
          <w:spacing w:val="-9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obtain</w:t>
      </w:r>
      <w:r w:rsidRPr="001661FE">
        <w:rPr>
          <w:rFonts w:asciiTheme="minorHAnsi" w:hAnsiTheme="minorHAnsi" w:cstheme="minorHAnsi"/>
          <w:spacing w:val="-5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free</w:t>
      </w:r>
      <w:r w:rsidRPr="001661FE">
        <w:rPr>
          <w:rFonts w:asciiTheme="minorHAnsi" w:hAnsiTheme="minorHAnsi" w:cstheme="minorHAnsi"/>
          <w:spacing w:val="-5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expert help from the independent charity:</w:t>
      </w:r>
    </w:p>
    <w:p w14:paraId="7A633028" w14:textId="77777777" w:rsidR="00327207" w:rsidRPr="001661FE" w:rsidRDefault="00327207" w:rsidP="00327207">
      <w:pPr>
        <w:pStyle w:val="BodyText"/>
        <w:spacing w:before="119"/>
        <w:ind w:left="1540" w:right="5969"/>
        <w:jc w:val="left"/>
        <w:rPr>
          <w:rFonts w:asciiTheme="minorHAnsi" w:hAnsiTheme="minorHAnsi" w:cstheme="minorHAnsi"/>
          <w:szCs w:val="22"/>
        </w:rPr>
      </w:pPr>
      <w:r w:rsidRPr="001661FE">
        <w:rPr>
          <w:rFonts w:asciiTheme="minorHAnsi" w:hAnsiTheme="minorHAnsi" w:cstheme="minorHAnsi"/>
          <w:szCs w:val="22"/>
        </w:rPr>
        <w:t>Protect Advice The</w:t>
      </w:r>
      <w:r w:rsidRPr="001661FE">
        <w:rPr>
          <w:rFonts w:asciiTheme="minorHAnsi" w:hAnsiTheme="minorHAnsi" w:cstheme="minorHAnsi"/>
          <w:spacing w:val="-1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Green</w:t>
      </w:r>
      <w:r w:rsidRPr="001661FE">
        <w:rPr>
          <w:rFonts w:asciiTheme="minorHAnsi" w:hAnsiTheme="minorHAnsi" w:cstheme="minorHAnsi"/>
          <w:spacing w:val="-1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House</w:t>
      </w:r>
    </w:p>
    <w:p w14:paraId="4A3B6F08" w14:textId="77777777" w:rsidR="00327207" w:rsidRPr="001661FE" w:rsidRDefault="00327207" w:rsidP="00327207">
      <w:pPr>
        <w:pStyle w:val="BodyText"/>
        <w:ind w:left="1540" w:right="3952"/>
        <w:jc w:val="left"/>
        <w:rPr>
          <w:rFonts w:asciiTheme="minorHAnsi" w:hAnsiTheme="minorHAnsi" w:cstheme="minorHAnsi"/>
          <w:szCs w:val="22"/>
        </w:rPr>
      </w:pPr>
      <w:r w:rsidRPr="001661FE">
        <w:rPr>
          <w:rFonts w:asciiTheme="minorHAnsi" w:hAnsiTheme="minorHAnsi" w:cstheme="minorHAnsi"/>
          <w:szCs w:val="22"/>
        </w:rPr>
        <w:t>244-254</w:t>
      </w:r>
      <w:r w:rsidRPr="001661FE">
        <w:rPr>
          <w:rFonts w:asciiTheme="minorHAnsi" w:hAnsiTheme="minorHAnsi" w:cstheme="minorHAnsi"/>
          <w:spacing w:val="-12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Cambridge</w:t>
      </w:r>
      <w:r w:rsidRPr="001661FE">
        <w:rPr>
          <w:rFonts w:asciiTheme="minorHAnsi" w:hAnsiTheme="minorHAnsi" w:cstheme="minorHAnsi"/>
          <w:spacing w:val="-12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Heath</w:t>
      </w:r>
      <w:r w:rsidRPr="001661FE">
        <w:rPr>
          <w:rFonts w:asciiTheme="minorHAnsi" w:hAnsiTheme="minorHAnsi" w:cstheme="minorHAnsi"/>
          <w:spacing w:val="-11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Road London E2 9DA</w:t>
      </w:r>
    </w:p>
    <w:p w14:paraId="651F7386" w14:textId="77777777" w:rsidR="00327207" w:rsidRPr="001661FE" w:rsidRDefault="00327207" w:rsidP="00327207">
      <w:pPr>
        <w:pStyle w:val="BodyText"/>
        <w:spacing w:line="242" w:lineRule="auto"/>
        <w:ind w:left="1540" w:right="4719"/>
        <w:jc w:val="left"/>
        <w:rPr>
          <w:rFonts w:asciiTheme="minorHAnsi" w:hAnsiTheme="minorHAnsi" w:cstheme="minorHAnsi"/>
          <w:szCs w:val="22"/>
        </w:rPr>
      </w:pPr>
      <w:r w:rsidRPr="001661FE">
        <w:rPr>
          <w:rFonts w:asciiTheme="minorHAnsi" w:hAnsiTheme="minorHAnsi" w:cstheme="minorHAnsi"/>
          <w:szCs w:val="22"/>
        </w:rPr>
        <w:t>Advice Line: 020 3117 2520 Website:</w:t>
      </w:r>
      <w:r w:rsidRPr="001661FE">
        <w:rPr>
          <w:rFonts w:asciiTheme="minorHAnsi" w:hAnsiTheme="minorHAnsi" w:cstheme="minorHAnsi"/>
          <w:spacing w:val="-14"/>
          <w:szCs w:val="22"/>
        </w:rPr>
        <w:t xml:space="preserve"> </w:t>
      </w:r>
      <w:r w:rsidRPr="001661FE">
        <w:rPr>
          <w:rFonts w:asciiTheme="minorHAnsi" w:hAnsiTheme="minorHAnsi" w:cstheme="minorHAnsi"/>
          <w:szCs w:val="22"/>
        </w:rPr>
        <w:t>protect-advice.org.uk</w:t>
      </w:r>
    </w:p>
    <w:p w14:paraId="46984792" w14:textId="77777777" w:rsidR="002F1216" w:rsidRDefault="002F1216"/>
    <w:sectPr w:rsidR="002F1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5F9"/>
    <w:multiLevelType w:val="hybridMultilevel"/>
    <w:tmpl w:val="949CB374"/>
    <w:lvl w:ilvl="0" w:tplc="F180813E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7AB24A">
      <w:numFmt w:val="bullet"/>
      <w:lvlText w:val="•"/>
      <w:lvlJc w:val="left"/>
      <w:pPr>
        <w:ind w:left="1662" w:hanging="356"/>
      </w:pPr>
      <w:rPr>
        <w:rFonts w:hint="default"/>
        <w:lang w:val="en-US" w:eastAsia="en-US" w:bidi="ar-SA"/>
      </w:rPr>
    </w:lvl>
    <w:lvl w:ilvl="2" w:tplc="7846A768">
      <w:numFmt w:val="bullet"/>
      <w:lvlText w:val="•"/>
      <w:lvlJc w:val="left"/>
      <w:pPr>
        <w:ind w:left="2505" w:hanging="356"/>
      </w:pPr>
      <w:rPr>
        <w:rFonts w:hint="default"/>
        <w:lang w:val="en-US" w:eastAsia="en-US" w:bidi="ar-SA"/>
      </w:rPr>
    </w:lvl>
    <w:lvl w:ilvl="3" w:tplc="C7640186">
      <w:numFmt w:val="bullet"/>
      <w:lvlText w:val="•"/>
      <w:lvlJc w:val="left"/>
      <w:pPr>
        <w:ind w:left="3347" w:hanging="356"/>
      </w:pPr>
      <w:rPr>
        <w:rFonts w:hint="default"/>
        <w:lang w:val="en-US" w:eastAsia="en-US" w:bidi="ar-SA"/>
      </w:rPr>
    </w:lvl>
    <w:lvl w:ilvl="4" w:tplc="A88446B0">
      <w:numFmt w:val="bullet"/>
      <w:lvlText w:val="•"/>
      <w:lvlJc w:val="left"/>
      <w:pPr>
        <w:ind w:left="4190" w:hanging="356"/>
      </w:pPr>
      <w:rPr>
        <w:rFonts w:hint="default"/>
        <w:lang w:val="en-US" w:eastAsia="en-US" w:bidi="ar-SA"/>
      </w:rPr>
    </w:lvl>
    <w:lvl w:ilvl="5" w:tplc="23E6AA34">
      <w:numFmt w:val="bullet"/>
      <w:lvlText w:val="•"/>
      <w:lvlJc w:val="left"/>
      <w:pPr>
        <w:ind w:left="5033" w:hanging="356"/>
      </w:pPr>
      <w:rPr>
        <w:rFonts w:hint="default"/>
        <w:lang w:val="en-US" w:eastAsia="en-US" w:bidi="ar-SA"/>
      </w:rPr>
    </w:lvl>
    <w:lvl w:ilvl="6" w:tplc="3B020CE4">
      <w:numFmt w:val="bullet"/>
      <w:lvlText w:val="•"/>
      <w:lvlJc w:val="left"/>
      <w:pPr>
        <w:ind w:left="5875" w:hanging="356"/>
      </w:pPr>
      <w:rPr>
        <w:rFonts w:hint="default"/>
        <w:lang w:val="en-US" w:eastAsia="en-US" w:bidi="ar-SA"/>
      </w:rPr>
    </w:lvl>
    <w:lvl w:ilvl="7" w:tplc="C796709A">
      <w:numFmt w:val="bullet"/>
      <w:lvlText w:val="•"/>
      <w:lvlJc w:val="left"/>
      <w:pPr>
        <w:ind w:left="6718" w:hanging="356"/>
      </w:pPr>
      <w:rPr>
        <w:rFonts w:hint="default"/>
        <w:lang w:val="en-US" w:eastAsia="en-US" w:bidi="ar-SA"/>
      </w:rPr>
    </w:lvl>
    <w:lvl w:ilvl="8" w:tplc="61765FB2">
      <w:numFmt w:val="bullet"/>
      <w:lvlText w:val="•"/>
      <w:lvlJc w:val="left"/>
      <w:pPr>
        <w:ind w:left="7561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414A0647"/>
    <w:multiLevelType w:val="hybridMultilevel"/>
    <w:tmpl w:val="E5603914"/>
    <w:lvl w:ilvl="0" w:tplc="1C322274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/>
        <w:bCs/>
        <w:i w:val="0"/>
        <w:iCs w:val="0"/>
        <w:color w:val="212A35"/>
        <w:spacing w:val="-1"/>
        <w:w w:val="99"/>
        <w:sz w:val="32"/>
        <w:szCs w:val="32"/>
        <w:lang w:val="en-US" w:eastAsia="en-US" w:bidi="ar-SA"/>
      </w:rPr>
    </w:lvl>
    <w:lvl w:ilvl="1" w:tplc="3D1851B4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24E586">
      <w:numFmt w:val="bullet"/>
      <w:lvlText w:val="•"/>
      <w:lvlJc w:val="left"/>
      <w:pPr>
        <w:ind w:left="1756" w:hanging="356"/>
      </w:pPr>
      <w:rPr>
        <w:rFonts w:hint="default"/>
        <w:lang w:val="en-US" w:eastAsia="en-US" w:bidi="ar-SA"/>
      </w:rPr>
    </w:lvl>
    <w:lvl w:ilvl="3" w:tplc="F33255F2">
      <w:numFmt w:val="bullet"/>
      <w:lvlText w:val="•"/>
      <w:lvlJc w:val="left"/>
      <w:pPr>
        <w:ind w:left="2692" w:hanging="356"/>
      </w:pPr>
      <w:rPr>
        <w:rFonts w:hint="default"/>
        <w:lang w:val="en-US" w:eastAsia="en-US" w:bidi="ar-SA"/>
      </w:rPr>
    </w:lvl>
    <w:lvl w:ilvl="4" w:tplc="B9BE25AE">
      <w:numFmt w:val="bullet"/>
      <w:lvlText w:val="•"/>
      <w:lvlJc w:val="left"/>
      <w:pPr>
        <w:ind w:left="3628" w:hanging="356"/>
      </w:pPr>
      <w:rPr>
        <w:rFonts w:hint="default"/>
        <w:lang w:val="en-US" w:eastAsia="en-US" w:bidi="ar-SA"/>
      </w:rPr>
    </w:lvl>
    <w:lvl w:ilvl="5" w:tplc="02CEE470">
      <w:numFmt w:val="bullet"/>
      <w:lvlText w:val="•"/>
      <w:lvlJc w:val="left"/>
      <w:pPr>
        <w:ind w:left="4565" w:hanging="356"/>
      </w:pPr>
      <w:rPr>
        <w:rFonts w:hint="default"/>
        <w:lang w:val="en-US" w:eastAsia="en-US" w:bidi="ar-SA"/>
      </w:rPr>
    </w:lvl>
    <w:lvl w:ilvl="6" w:tplc="62224E08">
      <w:numFmt w:val="bullet"/>
      <w:lvlText w:val="•"/>
      <w:lvlJc w:val="left"/>
      <w:pPr>
        <w:ind w:left="5501" w:hanging="356"/>
      </w:pPr>
      <w:rPr>
        <w:rFonts w:hint="default"/>
        <w:lang w:val="en-US" w:eastAsia="en-US" w:bidi="ar-SA"/>
      </w:rPr>
    </w:lvl>
    <w:lvl w:ilvl="7" w:tplc="FD3A226A">
      <w:numFmt w:val="bullet"/>
      <w:lvlText w:val="•"/>
      <w:lvlJc w:val="left"/>
      <w:pPr>
        <w:ind w:left="6437" w:hanging="356"/>
      </w:pPr>
      <w:rPr>
        <w:rFonts w:hint="default"/>
        <w:lang w:val="en-US" w:eastAsia="en-US" w:bidi="ar-SA"/>
      </w:rPr>
    </w:lvl>
    <w:lvl w:ilvl="8" w:tplc="B0D21DD0">
      <w:numFmt w:val="bullet"/>
      <w:lvlText w:val="•"/>
      <w:lvlJc w:val="left"/>
      <w:pPr>
        <w:ind w:left="7373" w:hanging="35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7"/>
    <w:rsid w:val="000D45A8"/>
    <w:rsid w:val="002F1216"/>
    <w:rsid w:val="0032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02DF"/>
  <w15:chartTrackingRefBased/>
  <w15:docId w15:val="{BA0D8134-2EC0-4707-A1EB-9DFA1E42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2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72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327207"/>
    <w:pPr>
      <w:tabs>
        <w:tab w:val="left" w:pos="204"/>
      </w:tabs>
      <w:spacing w:after="0" w:line="277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27207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1"/>
    <w:qFormat/>
    <w:rsid w:val="0032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Brown</dc:creator>
  <cp:keywords/>
  <dc:description/>
  <cp:lastModifiedBy>Leigh Johnson</cp:lastModifiedBy>
  <cp:revision>2</cp:revision>
  <dcterms:created xsi:type="dcterms:W3CDTF">2025-11-21T10:33:00Z</dcterms:created>
  <dcterms:modified xsi:type="dcterms:W3CDTF">2025-11-21T10:33:00Z</dcterms:modified>
</cp:coreProperties>
</file>